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761">
      <w:hyperlink r:id="rId4" w:history="1">
        <w:r w:rsidRPr="00301B2E">
          <w:rPr>
            <w:rStyle w:val="Hyperlink"/>
          </w:rPr>
          <w:t>https://le</w:t>
        </w:r>
        <w:r w:rsidRPr="00301B2E">
          <w:rPr>
            <w:rStyle w:val="Hyperlink"/>
          </w:rPr>
          <w:t>c</w:t>
        </w:r>
        <w:r w:rsidRPr="00301B2E">
          <w:rPr>
            <w:rStyle w:val="Hyperlink"/>
          </w:rPr>
          <w:t>tii-virtuale.ro/video/drepte-paralele-criterii-de-paralelism</w:t>
        </w:r>
      </w:hyperlink>
    </w:p>
    <w:p w:rsidR="007B1761" w:rsidRDefault="007B1761"/>
    <w:sectPr w:rsidR="007B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761"/>
    <w:rsid w:val="007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7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ctii-virtuale.ro/video/drepte-paralele-criterii-de-parale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2020-11-09T19:26:00Z</dcterms:created>
  <dcterms:modified xsi:type="dcterms:W3CDTF">2020-11-09T19:27:00Z</dcterms:modified>
</cp:coreProperties>
</file>