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jc w:val="center"/>
        <w:rPr/>
      </w:pPr>
      <w:r>
        <w:rPr>
          <w:sz w:val="24"/>
          <w:szCs w:val="24"/>
          <w:lang w:val="pt-BR"/>
        </w:rPr>
        <w:t xml:space="preserve"> </w:t>
      </w:r>
      <w:r>
        <w:rPr>
          <w:b/>
          <w:sz w:val="24"/>
          <w:szCs w:val="24"/>
        </w:rPr>
        <w:t>TEST     DE     EVALUARE     INIŢIALĂ    MATEMATICĂ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Clasa a VII-a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  <w:lang w:val="pt-BR"/>
        </w:rPr>
      </w:pPr>
      <w:r>
        <w:rPr>
          <w:b/>
          <w:sz w:val="18"/>
          <w:szCs w:val="18"/>
          <w:lang w:val="es-ES"/>
        </w:rPr>
        <w:t xml:space="preserve">Toate subiectele sunt obligatorii. Timpul efectiv de lucru este de 50 de minute. </w:t>
      </w:r>
    </w:p>
    <w:p>
      <w:pPr>
        <w:pStyle w:val="Normal"/>
        <w:numPr>
          <w:ilvl w:val="0"/>
          <w:numId w:val="1"/>
        </w:numPr>
        <w:rPr>
          <w:b/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  <w:t xml:space="preserve">Pentru rezolvarea corectă a tuturor cerinţelor din Partea I şi  Partea a II-a se acordă 90 de puncte. Se acordă 10 puncte din oficiu.  </w:t>
      </w:r>
    </w:p>
    <w:p>
      <w:pPr>
        <w:pStyle w:val="Normal"/>
        <w:ind w:left="360" w:hanging="0"/>
        <w:rPr>
          <w:b/>
          <w:b/>
          <w:sz w:val="18"/>
          <w:szCs w:val="18"/>
          <w:lang w:val="pt-BR"/>
        </w:rPr>
      </w:pPr>
      <w:r>
        <w:rPr>
          <w:b/>
          <w:sz w:val="18"/>
          <w:szCs w:val="18"/>
          <w:lang w:val="pt-BR"/>
        </w:rPr>
      </w:r>
    </w:p>
    <w:p>
      <w:pPr>
        <w:pStyle w:val="Normal"/>
        <w:ind w:left="360" w:hanging="0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PARTEA I      Scrieți litera corespunzătoare singurului răspuns corect.                       (45 de puncte)</w:t>
      </w:r>
    </w:p>
    <w:p>
      <w:pPr>
        <w:pStyle w:val="Normal"/>
        <w:ind w:left="360" w:hanging="0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</w:r>
    </w:p>
    <w:tbl>
      <w:tblPr>
        <w:tblW w:w="100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9456"/>
      </w:tblGrid>
      <w:tr>
        <w:trPr/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5p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Rezultatul calculului  –2 · (–4 ) + 3 este......................................................................................</w:t>
            </w:r>
          </w:p>
        </w:tc>
      </w:tr>
      <w:tr>
        <w:trPr/>
        <w:tc>
          <w:tcPr>
            <w:tcW w:w="55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Dacă</w:t>
            </w:r>
            <w:r>
              <w:rPr>
                <w:sz w:val="24"/>
                <w:szCs w:val="24"/>
              </w:rPr>
              <w:object w:dxaOrig="760" w:dyaOrig="620">
                <v:shape id="ole_rId2" style="width:38pt;height:31pt" o:ole="">
                  <v:imagedata r:id="rId3" o:title=""/>
                </v:shape>
                <o:OLEObject Type="Embed" ProgID="" ShapeID="ole_rId2" DrawAspect="Content" ObjectID="_1523139110" r:id="rId2"/>
              </w:object>
            </w:r>
            <w:r>
              <w:rPr>
                <w:sz w:val="22"/>
                <w:szCs w:val="22"/>
              </w:rPr>
              <w:t xml:space="preserve"> ,</w:t>
            </w:r>
            <w:r>
              <w:fldChar w:fldCharType="begin"/>
            </w:r>
            <w:r>
              <w:rPr>
                <w:sz w:val="22"/>
                <w:szCs w:val="22"/>
              </w:rPr>
              <w:instrText> QUOTE _x0001_ </w:instrText>
            </w:r>
            <w:r>
              <w:rPr>
                <w:sz w:val="22"/>
                <w:szCs w:val="22"/>
              </w:rPr>
              <w:fldChar w:fldCharType="separate"/>
            </w:r>
            <w:bookmarkStart w:id="0" w:name="__Fieldmark__0_1234003214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0"/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atunci x este egal cu.............................................................................................</w:t>
            </w:r>
          </w:p>
        </w:tc>
      </w:tr>
      <w:tr>
        <w:trPr/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5p</w:t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20 % din 75 este egal cu .............................................................................................................</w:t>
            </w:r>
          </w:p>
        </w:tc>
      </w:tr>
      <w:tr>
        <w:trPr/>
        <w:tc>
          <w:tcPr>
            <w:tcW w:w="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pacing w:val="-6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O pâine costă 2</w:t>
            </w:r>
            <w:r>
              <w:rPr>
                <w:spacing w:val="-6"/>
                <w:sz w:val="24"/>
                <w:szCs w:val="24"/>
              </w:rPr>
              <w:t xml:space="preserve"> lei. După o scumpire cu 10% , pâinea va costa...................................................</w:t>
            </w:r>
          </w:p>
          <w:p>
            <w:pPr>
              <w:pStyle w:val="Normal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55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Probabilitatea ca, dintr-o urnă cu 10 bile negre şi 16 bile albe, să alegem o bilă albă este</w:t>
            </w:r>
          </w:p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.......................................................................................................................................................................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55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>
              <w:rPr>
                <w:sz w:val="24"/>
                <w:szCs w:val="24"/>
              </w:rPr>
              <w:t>Dacă lungimea laturii AB a triunghiului echilateral ABC este 12 cm atunci perimetrul triunghiului este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55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Dacă măsurile a două dintre unghiurile unui triunghi sunt de 45° și 80°, atunci cel de-al treilea unghi al triunghiului are măsura de.....................................................................................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>
        <w:trPr/>
        <w:tc>
          <w:tcPr>
            <w:tcW w:w="552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Un unghi drept are măsura de .....................................................................................................</w:t>
            </w:r>
          </w:p>
        </w:tc>
      </w:tr>
      <w:tr>
        <w:trPr/>
        <w:tc>
          <w:tcPr>
            <w:tcW w:w="552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5p</w:t>
            </w:r>
          </w:p>
        </w:tc>
        <w:tc>
          <w:tcPr>
            <w:tcW w:w="945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9. </w:t>
            </w:r>
            <w:r>
              <w:rPr>
                <w:spacing w:val="-4"/>
                <w:sz w:val="24"/>
                <w:szCs w:val="24"/>
              </w:rPr>
              <w:t>Aria unui triunghi dreptunghic ce are catetele de 9 cm şi respectiv 12cm, este</w:t>
            </w:r>
            <w:r>
              <w:rPr>
                <w:sz w:val="24"/>
                <w:szCs w:val="24"/>
              </w:rPr>
              <w:t xml:space="preserve"> ..............................</w:t>
            </w:r>
          </w:p>
          <w:p>
            <w:pPr>
              <w:pStyle w:val="Normal"/>
              <w:rPr>
                <w:sz w:val="22"/>
                <w:szCs w:val="22"/>
                <w:lang w:val="it-IT"/>
              </w:rPr>
            </w:pP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360" w:hanging="0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PARTEA a II-a       La următoarele probleme se cer rezolvări complete.                     (45 de puncte)</w:t>
      </w:r>
    </w:p>
    <w:p>
      <w:pPr>
        <w:pStyle w:val="Normal"/>
        <w:ind w:left="360" w:hanging="0"/>
        <w:rPr>
          <w:b/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</w:r>
    </w:p>
    <w:tbl>
      <w:tblPr>
        <w:tblW w:w="10008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9449"/>
      </w:tblGrid>
      <w:tr>
        <w:trPr/>
        <w:tc>
          <w:tcPr>
            <w:tcW w:w="559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10p</w:t>
            </w:r>
          </w:p>
        </w:tc>
        <w:tc>
          <w:tcPr>
            <w:tcW w:w="94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 xml:space="preserve">Efectuați: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/>
              <w:object w:dxaOrig="3800" w:dyaOrig="720">
                <v:shape id="ole_rId4" style="width:190pt;height:36pt" o:ole="">
                  <v:imagedata r:id="rId5" o:title=""/>
                </v:shape>
                <o:OLEObject Type="Embed" ProgID="" ShapeID="ole_rId4" DrawAspect="Content" ObjectID="_1824722756" r:id="rId4"/>
              </w:objec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  <w:tab/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10p</w:t>
            </w:r>
          </w:p>
        </w:tc>
        <w:tc>
          <w:tcPr>
            <w:tcW w:w="94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Rezolvați în Z ecuația: 2x + 5(x – 2) </w:t>
            </w:r>
            <w:r>
              <w:rPr>
                <w:sz w:val="24"/>
                <w:szCs w:val="24"/>
                <w:lang w:eastAsia="zh-CN"/>
              </w:rPr>
              <w:t>=</w:t>
            </w:r>
            <w:r>
              <w:rPr>
                <w:sz w:val="24"/>
                <w:szCs w:val="24"/>
                <w:lang w:eastAsia="zh-CN"/>
              </w:rPr>
              <w:t xml:space="preserve"> 2(5x </w:t>
            </w:r>
            <w:r>
              <w:rPr>
                <w:sz w:val="24"/>
                <w:szCs w:val="24"/>
                <w:lang w:eastAsia="zh-CN"/>
              </w:rPr>
              <w:t>–</w:t>
            </w:r>
            <w:r>
              <w:rPr>
                <w:sz w:val="24"/>
                <w:szCs w:val="24"/>
                <w:lang w:eastAsia="zh-CN"/>
              </w:rPr>
              <w:t xml:space="preserve"> 2)</w:t>
            </w:r>
            <w:r>
              <w:rPr>
                <w:sz w:val="24"/>
                <w:szCs w:val="24"/>
                <w:lang w:eastAsia="zh-CN"/>
              </w:rPr>
              <w:t>.</w:t>
            </w:r>
            <w:r>
              <w:rPr>
                <w:sz w:val="22"/>
              </w:rPr>
              <w:t xml:space="preserve">             </w:t>
            </w:r>
            <w:r>
              <w:rPr>
                <w:sz w:val="28"/>
                <w:szCs w:val="24"/>
              </w:rPr>
              <w:t xml:space="preserve"> </w:t>
            </w:r>
          </w:p>
        </w:tc>
      </w:tr>
      <w:tr>
        <w:trPr/>
        <w:tc>
          <w:tcPr>
            <w:tcW w:w="55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10p</w:t>
            </w:r>
          </w:p>
          <w:p>
            <w:pPr>
              <w:pStyle w:val="Normal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94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4"/>
                <w:szCs w:val="24"/>
              </w:rPr>
              <w:t xml:space="preserve">12. </w:t>
            </w:r>
            <w:r>
              <w:rPr>
                <w:i/>
                <w:sz w:val="24"/>
                <w:szCs w:val="24"/>
              </w:rPr>
              <w:t>a)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Desenați triunghiul isoscel DEF, cu DE = DF = 4cm și m(</w:t>
            </w:r>
            <w:r>
              <w:rPr>
                <w:sz w:val="24"/>
                <w:szCs w:val="24"/>
              </w:rPr>
              <w:object w:dxaOrig="260" w:dyaOrig="320">
                <v:shape id="ole_rId6" style="width:13pt;height:16pt" o:ole="">
                  <v:imagedata r:id="rId7" o:title=""/>
                </v:shape>
                <o:OLEObject Type="Embed" ProgID="" ShapeID="ole_rId6" DrawAspect="Content" ObjectID="_688783783" r:id="rId6"/>
              </w:object>
            </w:r>
            <w:r>
              <w:rPr>
                <w:sz w:val="24"/>
                <w:szCs w:val="24"/>
              </w:rPr>
              <w:t>) = 40</w:t>
            </w:r>
            <w:r>
              <w:rPr>
                <w:rFonts w:eastAsia="Symbol" w:cs="Symbol" w:ascii="Symbol" w:hAnsi="Symbol"/>
                <w:sz w:val="24"/>
                <w:szCs w:val="24"/>
              </w:rPr>
              <w:t></w:t>
            </w:r>
            <w:r>
              <w:rPr>
                <w:sz w:val="24"/>
                <w:szCs w:val="24"/>
              </w:rPr>
              <w:t xml:space="preserve">. </w:t>
            </w:r>
          </w:p>
          <w:p>
            <w:pPr>
              <w:pStyle w:val="Normal"/>
              <w:jc w:val="both"/>
              <w:rPr/>
            </w:pPr>
            <w:r>
              <w:rPr>
                <w:i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Dacă în figura de la punctul</w:t>
            </w:r>
            <w:r>
              <w:rPr>
                <w:i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 xml:space="preserve"> ,  M şi N sunt mijloacele laturilor DE şi respectiv DF, arătați că EN</w:t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FM.</w:t>
            </w:r>
          </w:p>
        </w:tc>
      </w:tr>
      <w:tr>
        <w:trPr/>
        <w:tc>
          <w:tcPr>
            <w:tcW w:w="559" w:type="dxa"/>
            <w:tcBorders/>
            <w:shd w:fill="auto" w:val="clear"/>
          </w:tcPr>
          <w:p>
            <w:pPr>
              <w:pStyle w:val="Normal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15p</w:t>
            </w:r>
          </w:p>
        </w:tc>
        <w:tc>
          <w:tcPr>
            <w:tcW w:w="9449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4"/>
                <w:szCs w:val="24"/>
              </w:rPr>
              <w:t xml:space="preserve">13. </w:t>
            </w:r>
            <w:r>
              <w:rPr>
                <w:sz w:val="24"/>
                <w:szCs w:val="24"/>
              </w:rPr>
              <w:t xml:space="preserve">Înălţimea din vârful B a triunghiului dreptunghic ABC cu </w:t>
            </w:r>
            <w:r>
              <w:rPr>
                <w:sz w:val="24"/>
                <w:szCs w:val="24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m</m:t>
              </m:r>
              <m:d>
                <m:dPr>
                  <m:begChr m:val="("/>
                  <m:endChr m:val=")"/>
                </m:dPr>
                <m:e>
                  <m:acc>
                    <m:accPr>
                      <m:chr m:val="^"/>
                    </m:accPr>
                    <m:e>
                      <m:r>
                        <w:rPr>
                          <w:rFonts w:ascii="Cambria Math" w:hAnsi="Cambria Math"/>
                        </w:rPr>
                        <m:t xml:space="preserve">B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 xml:space="preserve">=</m:t>
              </m:r>
              <m:sSup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 xml:space="preserve">90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∘</m:t>
                  </m:r>
                </m:sup>
              </m:sSup>
            </m:oMath>
            <w:r>
              <w:rPr>
                <w:sz w:val="24"/>
                <w:szCs w:val="24"/>
              </w:rPr>
              <w:t>, intersectează AC în O şi se prelungeşte cu un segment OD</w:t>
            </w:r>
            <w:r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OB. Demonstraţi că: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  <w:lang w:val="el-GR"/>
              </w:rPr>
              <w:t>Δ</w:t>
            </w:r>
            <w:r>
              <w:rPr>
                <w:sz w:val="24"/>
                <w:szCs w:val="24"/>
              </w:rPr>
              <w:t xml:space="preserve"> BDC este isoscel; 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[AC este bisectoarea unghiului </w:t>
            </w:r>
            <w:r>
              <w:rPr>
                <w:sz w:val="24"/>
                <w:szCs w:val="24"/>
              </w:rPr>
              <w:object w:dxaOrig="260" w:dyaOrig="220">
                <v:shape id="ole_rId8" style="width:13pt;height:11pt" o:ole="">
                  <v:imagedata r:id="rId9" o:title=""/>
                </v:shape>
                <o:OLEObject Type="Embed" ProgID="" ShapeID="ole_rId8" DrawAspect="Content" ObjectID="_1233137828" r:id="rId8"/>
              </w:object>
            </w:r>
            <w:r>
              <w:rPr>
                <w:sz w:val="24"/>
                <w:szCs w:val="24"/>
              </w:rPr>
              <w:t>BAD.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TEST DE EVALUARE INIŢIALĂ </w:t>
      </w:r>
    </w:p>
    <w:p>
      <w:pPr>
        <w:pStyle w:val="Normal"/>
        <w:jc w:val="center"/>
        <w:rPr>
          <w:b/>
          <w:b/>
        </w:rPr>
      </w:pPr>
      <w:r>
        <w:rPr>
          <w:b/>
        </w:rPr>
        <w:t>DISCIPLINA MATEMATICĂ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 școlar 2013 – 2014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Clasa a VII-a</w:t>
      </w:r>
    </w:p>
    <w:p>
      <w:pPr>
        <w:pStyle w:val="Normal"/>
        <w:jc w:val="center"/>
        <w:rPr>
          <w:b/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  <w:t>BAREM DE EVALUARE ȘI DE NOTARE</w:t>
      </w:r>
    </w:p>
    <w:p>
      <w:pPr>
        <w:pStyle w:val="Normal"/>
        <w:jc w:val="center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60" w:hanging="0"/>
        <w:rPr/>
      </w:pPr>
      <w:r>
        <w:rPr>
          <w:b/>
          <w:sz w:val="18"/>
          <w:szCs w:val="18"/>
          <w:u w:val="single"/>
          <w:lang w:val="pt-BR"/>
        </w:rPr>
        <w:t>PARTEA I                                                                                                                                                                  (45 de puncte)</w:t>
      </w:r>
    </w:p>
    <w:p>
      <w:pPr>
        <w:pStyle w:val="Normal"/>
        <w:numPr>
          <w:ilvl w:val="0"/>
          <w:numId w:val="3"/>
        </w:numPr>
        <w:rPr>
          <w:b/>
          <w:b/>
          <w:lang w:val="pt-BR"/>
        </w:rPr>
      </w:pPr>
      <w:r>
        <w:rPr>
          <w:b/>
          <w:lang w:val="pt-BR"/>
        </w:rPr>
        <w:t xml:space="preserve">Se punctează doar rezultatul, astfel: pentru alegerea corectă a variantei de răspuns se acordă 5 puncte, pentru o alegere greşită a variantei de răspuns se acordă 0 puncte. </w:t>
      </w:r>
    </w:p>
    <w:p>
      <w:pPr>
        <w:pStyle w:val="Normal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10035" w:type="dxa"/>
        <w:jc w:val="left"/>
        <w:tblInd w:w="14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900"/>
        <w:gridCol w:w="918"/>
        <w:gridCol w:w="912"/>
        <w:gridCol w:w="912"/>
        <w:gridCol w:w="913"/>
        <w:gridCol w:w="913"/>
        <w:gridCol w:w="913"/>
        <w:gridCol w:w="913"/>
        <w:gridCol w:w="923"/>
      </w:tblGrid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Nr.item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9</w:t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 xml:space="preserve">Varianta corespunzătoare răspunsului corect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2,2 lei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sz w:val="22"/>
                <w:szCs w:val="22"/>
                <w:lang w:val="it-IT"/>
              </w:rPr>
              <w:t>8/13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sz w:val="22"/>
                <w:szCs w:val="22"/>
                <w:lang w:val="it-IT"/>
              </w:rPr>
              <w:t>36 cm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55°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sz w:val="22"/>
                <w:szCs w:val="22"/>
                <w:lang w:val="it-IT"/>
              </w:rPr>
              <w:t>90°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vertAlign w:val="superscript"/>
                <w:lang w:val="pt-BR"/>
              </w:rPr>
            </w:pPr>
            <w:r>
              <w:rPr>
                <w:sz w:val="22"/>
                <w:szCs w:val="22"/>
                <w:lang w:val="it-IT"/>
              </w:rPr>
              <w:t>a) 54 cm</w:t>
            </w:r>
            <w:r>
              <w:rPr>
                <w:sz w:val="22"/>
                <w:szCs w:val="22"/>
                <w:vertAlign w:val="superscript"/>
                <w:lang w:val="it-IT"/>
              </w:rPr>
              <w:t>2</w:t>
            </w:r>
          </w:p>
        </w:tc>
      </w:tr>
      <w:tr>
        <w:trPr/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Punctaj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lang w:val="pt-BR"/>
              </w:rPr>
            </w:pPr>
            <w:r>
              <w:rPr>
                <w:b/>
                <w:lang w:val="pt-BR"/>
              </w:rPr>
              <w:t>5</w:t>
            </w:r>
          </w:p>
        </w:tc>
      </w:tr>
    </w:tbl>
    <w:p>
      <w:pPr>
        <w:pStyle w:val="Normal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ind w:left="360" w:hanging="0"/>
        <w:rPr/>
      </w:pPr>
      <w:r>
        <w:rPr>
          <w:b/>
          <w:sz w:val="18"/>
          <w:szCs w:val="18"/>
          <w:u w:val="single"/>
          <w:lang w:val="pt-BR"/>
        </w:rPr>
        <w:t>PARTEA A II-A                                                                                                                                                         (45 de puncte)</w:t>
      </w:r>
    </w:p>
    <w:p>
      <w:pPr>
        <w:pStyle w:val="Normal"/>
        <w:rPr>
          <w:b/>
          <w:b/>
          <w:sz w:val="18"/>
          <w:szCs w:val="18"/>
          <w:u w:val="single"/>
          <w:lang w:val="pt-BR"/>
        </w:rPr>
      </w:pPr>
      <w:r>
        <w:rPr>
          <w:b/>
          <w:sz w:val="18"/>
          <w:szCs w:val="18"/>
          <w:u w:val="single"/>
          <w:lang w:val="pt-BR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30" w:leader="none"/>
          <w:tab w:val="left" w:pos="2520" w:leader="none"/>
        </w:tabs>
        <w:rPr>
          <w:b/>
          <w:b/>
          <w:lang w:val="pt-BR"/>
        </w:rPr>
      </w:pPr>
      <w:r>
        <w:rPr>
          <w:b/>
          <w:lang w:val="pt-BR"/>
        </w:rPr>
        <w:t>Pentru orice soluţie corectă, chiar dacă este diferită de cea din barem, se acordă punctajul maxim corespunzător.</w:t>
      </w:r>
    </w:p>
    <w:p>
      <w:pPr>
        <w:pStyle w:val="Normal"/>
        <w:numPr>
          <w:ilvl w:val="0"/>
          <w:numId w:val="2"/>
        </w:numPr>
        <w:rPr>
          <w:b/>
          <w:b/>
          <w:lang w:val="pt-BR"/>
        </w:rPr>
      </w:pPr>
      <w:r>
        <w:rPr>
          <w:b/>
          <w:lang w:val="pt-BR"/>
        </w:rPr>
        <w:t xml:space="preserve">Nu se acordă fracţiuni de punct, dar se pot acorda punctaje intermediare pentru rezolvări parţiale, în limitele punctajului indicat în barem. </w:t>
      </w:r>
    </w:p>
    <w:p>
      <w:pPr>
        <w:pStyle w:val="Normal"/>
        <w:rPr>
          <w:b/>
          <w:b/>
          <w:lang w:val="pt-BR"/>
        </w:rPr>
      </w:pPr>
      <w:r>
        <w:rPr>
          <w:b/>
          <w:lang w:val="pt-BR"/>
        </w:rPr>
      </w:r>
    </w:p>
    <w:p>
      <w:pPr>
        <w:pStyle w:val="Normal"/>
        <w:rPr>
          <w:b/>
          <w:b/>
          <w:lang w:val="pt-BR"/>
        </w:rPr>
      </w:pPr>
      <w:r>
        <w:rPr>
          <w:b/>
          <w:lang w:val="pt-BR"/>
        </w:rPr>
      </w:r>
    </w:p>
    <w:tbl>
      <w:tblPr>
        <w:tblW w:w="965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7921"/>
        <w:gridCol w:w="907"/>
      </w:tblGrid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728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Nr. </w:t>
            </w:r>
          </w:p>
          <w:p>
            <w:pPr>
              <w:pStyle w:val="Normal"/>
              <w:ind w:right="-1728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right="-1728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Soluţie, rezolvare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1728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Punctaj</w:t>
            </w:r>
          </w:p>
        </w:tc>
      </w:tr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420" w:leader="none"/>
              </w:tabs>
              <w:ind w:right="-1728" w:hanging="0"/>
              <w:rPr>
                <w:position w:val="-19"/>
              </w:rPr>
            </w:pPr>
            <w:r>
              <w:rPr/>
              <w:object w:dxaOrig="2059" w:dyaOrig="679">
                <v:shape id="ole_rId10" style="width:102.75pt;height:33.75pt" o:ole="">
                  <v:imagedata r:id="rId11" o:title=""/>
                </v:shape>
                <o:OLEObject Type="Embed" ProgID="" ShapeID="ole_rId10" DrawAspect="Content" ObjectID="_56914094" r:id="rId10"/>
              </w:object>
            </w:r>
          </w:p>
          <w:p>
            <w:pPr>
              <w:pStyle w:val="Normal"/>
              <w:tabs>
                <w:tab w:val="clear" w:pos="720"/>
                <w:tab w:val="left" w:pos="6420" w:leader="none"/>
              </w:tabs>
              <w:ind w:right="-1728" w:hanging="0"/>
              <w:rPr>
                <w:color w:val="000000"/>
                <w:position w:val="-19"/>
                <w:sz w:val="22"/>
                <w:szCs w:val="22"/>
                <w:lang w:val="pt-BR"/>
              </w:rPr>
            </w:pPr>
            <w:r>
              <w:rPr/>
              <w:object w:dxaOrig="1760" w:dyaOrig="680">
                <v:shape id="ole_rId12" style="width:87.7pt;height:33.75pt" o:ole="">
                  <v:imagedata r:id="rId13" o:title=""/>
                </v:shape>
                <o:OLEObject Type="Embed" ProgID="" ShapeID="ole_rId12" DrawAspect="Content" ObjectID="_713546695" r:id="rId12"/>
              </w:object>
            </w:r>
          </w:p>
          <w:p>
            <w:pPr>
              <w:pStyle w:val="Normal"/>
              <w:tabs>
                <w:tab w:val="clear" w:pos="720"/>
                <w:tab w:val="left" w:pos="6420" w:leader="none"/>
              </w:tabs>
              <w:ind w:right="-1728" w:hanging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Finalizare = 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/>
            </w:pPr>
            <w:r>
              <w:rPr>
                <w:sz w:val="22"/>
                <w:szCs w:val="22"/>
              </w:rPr>
              <w:t>4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pct.</w:t>
            </w:r>
          </w:p>
        </w:tc>
      </w:tr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Desface corect parantezele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Aduce ecuația la forma   – 3x = 6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Finalizare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pct.</w:t>
            </w:r>
          </w:p>
        </w:tc>
      </w:tr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Figură</w:t>
            </w:r>
          </w:p>
          <w:p>
            <w:pPr>
              <w:pStyle w:val="Normal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Demonstrează că MN este linie mijlocie</w:t>
            </w:r>
          </w:p>
          <w:p>
            <w:pPr>
              <w:pStyle w:val="Normal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Calculează MN</w:t>
            </w:r>
          </w:p>
          <w:p>
            <w:pPr>
              <w:pStyle w:val="Normal"/>
              <w:rPr>
                <w:sz w:val="22"/>
                <w:szCs w:val="22"/>
                <w:lang w:val="pt-BR"/>
              </w:rPr>
            </w:pPr>
            <w:r>
              <w:rPr>
                <w:sz w:val="22"/>
              </w:rPr>
              <w:t>Calculează unghiul</w:t>
            </w:r>
          </w:p>
          <w:p>
            <w:pPr>
              <w:pStyle w:val="Normal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 pct.</w:t>
            </w:r>
          </w:p>
        </w:tc>
      </w:tr>
      <w:tr>
        <w:trPr/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/>
                <w:sz w:val="22"/>
                <w:szCs w:val="22"/>
                <w:lang w:val="pt-BR"/>
              </w:rPr>
              <w:t xml:space="preserve">     </w:t>
            </w: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6510" w:leader="none"/>
              </w:tabs>
              <w:ind w:right="-1728" w:hanging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Figură</w:t>
            </w:r>
          </w:p>
          <w:p>
            <w:pPr>
              <w:pStyle w:val="Normal"/>
              <w:tabs>
                <w:tab w:val="clear" w:pos="720"/>
                <w:tab w:val="left" w:pos="6510" w:leader="none"/>
              </w:tabs>
              <w:ind w:right="-1728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a)Arată că </w:t>
            </w:r>
            <w:r>
              <w:rPr>
                <w:sz w:val="24"/>
                <w:szCs w:val="24"/>
                <w:lang w:val="el-GR"/>
              </w:rPr>
              <w:t>Δ</w:t>
            </w:r>
            <w:r>
              <w:rPr>
                <w:sz w:val="24"/>
                <w:szCs w:val="24"/>
              </w:rPr>
              <w:t xml:space="preserve"> BDC este isoscel</w:t>
            </w:r>
          </w:p>
          <w:p>
            <w:pPr>
              <w:pStyle w:val="Normal"/>
              <w:tabs>
                <w:tab w:val="clear" w:pos="720"/>
                <w:tab w:val="left" w:pos="6510" w:leader="none"/>
              </w:tabs>
              <w:ind w:right="-1728" w:hanging="0"/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sz w:val="24"/>
                <w:szCs w:val="24"/>
              </w:rPr>
              <w:t>Demonstrează b)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pct.</w:t>
            </w:r>
          </w:p>
          <w:p>
            <w:pPr>
              <w:pStyle w:val="Normal"/>
              <w:tabs>
                <w:tab w:val="clear" w:pos="720"/>
                <w:tab w:val="right" w:pos="7547" w:leader="none"/>
              </w:tabs>
              <w:ind w:right="-172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</w:tbl>
    <w:p>
      <w:pPr>
        <w:pStyle w:val="Normal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</w:r>
    </w:p>
    <w:p>
      <w:pPr>
        <w:pStyle w:val="Normal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acordă 10 puncte din oficiu.</w:t>
      </w:r>
    </w:p>
    <w:p>
      <w:pPr>
        <w:pStyle w:val="Normal"/>
        <w:numPr>
          <w:ilvl w:val="0"/>
          <w:numId w:val="3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Punctajul final este suma dintre punctajele obţinute la partea I, partea a II-a şi punctajul din oficiu. </w:t>
      </w:r>
    </w:p>
    <w:p>
      <w:pPr>
        <w:pStyle w:val="Normal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sectPr>
      <w:headerReference w:type="default" r:id="rId14"/>
      <w:footerReference w:type="default" r:id="rId15"/>
      <w:type w:val="nextPage"/>
      <w:pgSz w:w="12240" w:h="15840"/>
      <w:pgMar w:left="864" w:right="576" w:header="288" w:top="576" w:footer="0" w:bottom="28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>
        <w:lang w:val="it-IT"/>
      </w:rPr>
    </w:pPr>
    <w:r>
      <w:rPr>
        <w:lang w:val="it-IT"/>
      </w:rPr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1.55pt;mso-wrap-distance-left:0pt;mso-wrap-distance-right:0pt;mso-wrap-distance-top:0pt;mso-wrap-distance-bottom:0pt;margin-top:0.05pt;mso-position-vertical-relative:text;margin-left:538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  <w:rFonts w:cs="Symbol"/>
        <w:lang w:val="es-ES"/>
      </w:rPr>
    </w:lvl>
  </w:abstractNum>
  <w:abstractNum w:abstractNumId="2"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  <w:rFonts w:cs="Wingdings"/>
        <w:lang w:val="es-E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o-R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o-RO" w:eastAsia="ja-JP" w:bidi="ar-SA"/>
    </w:rPr>
  </w:style>
  <w:style w:type="character" w:styleId="WW8Num1z0">
    <w:name w:val="WW8Num1z0"/>
    <w:qFormat/>
    <w:rPr>
      <w:sz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18"/>
      <w:szCs w:val="18"/>
      <w:lang w:val="es-E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sz w:val="20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sz w:val="24"/>
      <w:szCs w:val="24"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>
      <w:rFonts w:ascii="Symbol" w:hAnsi="Symbol" w:cs="Symbol"/>
    </w:rPr>
  </w:style>
  <w:style w:type="character" w:styleId="WW8Num29z0">
    <w:name w:val="WW8Num29z0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/>
  </w:style>
  <w:style w:type="character" w:styleId="WW8Num33z1">
    <w:name w:val="WW8Num33z1"/>
    <w:qFormat/>
    <w:rPr/>
  </w:style>
  <w:style w:type="character" w:styleId="WW8Num33z2">
    <w:name w:val="WW8Num33z2"/>
    <w:qFormat/>
    <w:rPr/>
  </w:style>
  <w:style w:type="character" w:styleId="WW8Num33z3">
    <w:name w:val="WW8Num33z3"/>
    <w:qFormat/>
    <w:rPr/>
  </w:style>
  <w:style w:type="character" w:styleId="WW8Num33z4">
    <w:name w:val="WW8Num33z4"/>
    <w:qFormat/>
    <w:rPr/>
  </w:style>
  <w:style w:type="character" w:styleId="WW8Num33z5">
    <w:name w:val="WW8Num33z5"/>
    <w:qFormat/>
    <w:rPr/>
  </w:style>
  <w:style w:type="character" w:styleId="WW8Num33z6">
    <w:name w:val="WW8Num33z6"/>
    <w:qFormat/>
    <w:rPr/>
  </w:style>
  <w:style w:type="character" w:styleId="WW8Num33z7">
    <w:name w:val="WW8Num33z7"/>
    <w:qFormat/>
    <w:rPr/>
  </w:style>
  <w:style w:type="character" w:styleId="WW8Num33z8">
    <w:name w:val="WW8Num33z8"/>
    <w:qFormat/>
    <w:rPr/>
  </w:style>
  <w:style w:type="character" w:styleId="WW8Num34z0">
    <w:name w:val="WW8Num34z0"/>
    <w:qFormat/>
    <w:rPr/>
  </w:style>
  <w:style w:type="character" w:styleId="WW8Num34z1">
    <w:name w:val="WW8Num34z1"/>
    <w:qFormat/>
    <w:rPr/>
  </w:style>
  <w:style w:type="character" w:styleId="WW8Num34z2">
    <w:name w:val="WW8Num34z2"/>
    <w:qFormat/>
    <w:rPr/>
  </w:style>
  <w:style w:type="character" w:styleId="WW8Num34z3">
    <w:name w:val="WW8Num34z3"/>
    <w:qFormat/>
    <w:rPr/>
  </w:style>
  <w:style w:type="character" w:styleId="WW8Num34z4">
    <w:name w:val="WW8Num34z4"/>
    <w:qFormat/>
    <w:rPr/>
  </w:style>
  <w:style w:type="character" w:styleId="WW8Num34z5">
    <w:name w:val="WW8Num34z5"/>
    <w:qFormat/>
    <w:rPr/>
  </w:style>
  <w:style w:type="character" w:styleId="WW8Num34z6">
    <w:name w:val="WW8Num34z6"/>
    <w:qFormat/>
    <w:rPr/>
  </w:style>
  <w:style w:type="character" w:styleId="WW8Num34z7">
    <w:name w:val="WW8Num34z7"/>
    <w:qFormat/>
    <w:rPr/>
  </w:style>
  <w:style w:type="character" w:styleId="WW8Num34z8">
    <w:name w:val="WW8Num34z8"/>
    <w:qFormat/>
    <w:rPr/>
  </w:style>
  <w:style w:type="character" w:styleId="WW8Num35z0">
    <w:name w:val="WW8Num35z0"/>
    <w:qFormat/>
    <w:rPr>
      <w:rFonts w:ascii="Wingdings" w:hAnsi="Wingdings" w:cs="Wingdings"/>
      <w:sz w:val="24"/>
      <w:szCs w:val="24"/>
      <w:lang w:val="es-E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/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/>
  </w:style>
  <w:style w:type="character" w:styleId="WW8Num39z2">
    <w:name w:val="WW8Num39z2"/>
    <w:qFormat/>
    <w:rPr/>
  </w:style>
  <w:style w:type="character" w:styleId="WW8Num39z3">
    <w:name w:val="WW8Num39z3"/>
    <w:qFormat/>
    <w:rPr/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DefaultParagraphFont">
    <w:name w:val="Default Paragraph Font"/>
    <w:qFormat/>
    <w:rPr/>
  </w:style>
  <w:style w:type="character" w:styleId="BodyTextChar">
    <w:name w:val="Body Text Char"/>
    <w:qFormat/>
    <w:rPr>
      <w:b/>
      <w:bCs/>
      <w:lang w:val="en-US" w:bidi="ar-SA"/>
    </w:rPr>
  </w:style>
  <w:style w:type="character" w:styleId="PageNumber">
    <w:name w:val="Page Number"/>
    <w:basedOn w:val="DefaultParagraphFont"/>
    <w:rPr/>
  </w:style>
  <w:style w:type="character" w:styleId="HeaderChar">
    <w:name w:val="Header Char"/>
    <w:qFormat/>
    <w:rPr>
      <w:lang w:eastAsia="ja-JP"/>
    </w:rPr>
  </w:style>
  <w:style w:type="character" w:styleId="FooterChar">
    <w:name w:val="Footer Char"/>
    <w:qFormat/>
    <w:rPr>
      <w:lang w:eastAsia="ja-JP"/>
    </w:rPr>
  </w:style>
  <w:style w:type="character" w:styleId="PlaceholderText">
    <w:name w:val="Placeholder Text"/>
    <w:qFormat/>
    <w:rPr>
      <w:color w:val="808080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  <w:lang w:eastAsia="ja-JP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autoSpaceDE w:val="false"/>
      <w:spacing w:before="240" w:after="0"/>
    </w:pPr>
    <w:rPr>
      <w:b/>
      <w:bCs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MTDisplayEquation">
    <w:name w:val="MTDisplayEquation"/>
    <w:basedOn w:val="Normal"/>
    <w:qFormat/>
    <w:pPr/>
    <w:rPr>
      <w:sz w:val="24"/>
      <w:szCs w:val="24"/>
      <w:lang w:val="pt-BR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oleObject" Target="embeddings/oleObject2.bin"/><Relationship Id="rId5" Type="http://schemas.openxmlformats.org/officeDocument/2006/relationships/image" Target="media/image2.wmf"/><Relationship Id="rId6" Type="http://schemas.openxmlformats.org/officeDocument/2006/relationships/oleObject" Target="embeddings/oleObject3.bin"/><Relationship Id="rId7" Type="http://schemas.openxmlformats.org/officeDocument/2006/relationships/image" Target="media/image3.wmf"/><Relationship Id="rId8" Type="http://schemas.openxmlformats.org/officeDocument/2006/relationships/oleObject" Target="embeddings/oleObject4.bin"/><Relationship Id="rId9" Type="http://schemas.openxmlformats.org/officeDocument/2006/relationships/image" Target="media/image4.wmf"/><Relationship Id="rId10" Type="http://schemas.openxmlformats.org/officeDocument/2006/relationships/oleObject" Target="embeddings/oleObject5.bin"/><Relationship Id="rId11" Type="http://schemas.openxmlformats.org/officeDocument/2006/relationships/image" Target="media/image5.wmf"/><Relationship Id="rId12" Type="http://schemas.openxmlformats.org/officeDocument/2006/relationships/oleObject" Target="embeddings/oleObject6.bin"/><Relationship Id="rId13" Type="http://schemas.openxmlformats.org/officeDocument/2006/relationships/image" Target="media/image6.wmf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MathType Commands 6 For Word_x0000__x0000__x0000_</Template>
  <TotalTime>70</TotalTime>
  <Application>LibreOffice/6.3.3.2$Windows_X86_64 LibreOffice_project/a64200df03143b798afd1ec74a12ab50359878ed</Application>
  <Pages>2</Pages>
  <Words>538</Words>
  <Characters>3606</Characters>
  <CharactersWithSpaces>4466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2013-09-19T22:34:00Z</dcterms:created>
  <dc:creator>Gaby</dc:creator>
  <dc:description/>
  <cp:keywords/>
  <dc:language>ro-RO</dc:language>
  <cp:lastModifiedBy/>
  <cp:lastPrinted>2013-09-22T21:36:00Z</cp:lastPrinted>
  <dcterms:modified xsi:type="dcterms:W3CDTF">2020-06-18T13:18:51Z</dcterms:modified>
  <cp:revision>10</cp:revision>
  <dc:subject/>
  <dc:title>MathType Commands 6 for Word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Build">
    <vt:lpwstr>09120801_x0000__x0000__x0000_</vt:lpwstr>
  </property>
  <property fmtid="{D5CDD505-2E9C-101B-9397-08002B2CF9AE}" pid="3" name="MTWinEqns">
    <vt:bool>1</vt:bool>
  </property>
</Properties>
</file>